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BCD968">
      <w:pPr>
        <w:jc w:val="center"/>
        <w:rPr>
          <w:rFonts w:ascii="微软雅黑" w:hAnsi="微软雅黑" w:eastAsia="微软雅黑" w:cs="微软雅黑"/>
          <w:i w:val="0"/>
          <w:iCs w:val="0"/>
          <w:caps w:val="0"/>
          <w:color w:val="005A04"/>
          <w:spacing w:val="0"/>
          <w:sz w:val="36"/>
          <w:szCs w:val="36"/>
          <w:shd w:val="clear" w:fill="FFFFFF"/>
        </w:rPr>
      </w:pPr>
      <w:r>
        <w:rPr>
          <w:rFonts w:ascii="微软雅黑" w:hAnsi="微软雅黑" w:eastAsia="微软雅黑" w:cs="微软雅黑"/>
          <w:i w:val="0"/>
          <w:iCs w:val="0"/>
          <w:caps w:val="0"/>
          <w:color w:val="005A04"/>
          <w:spacing w:val="0"/>
          <w:sz w:val="36"/>
          <w:szCs w:val="36"/>
          <w:shd w:val="clear" w:fill="FFFFFF"/>
        </w:rPr>
        <w:t>实验室在温带森林土壤吸收甲烷的温湿度双重调控机制研究取得新进展</w:t>
      </w:r>
    </w:p>
    <w:p w14:paraId="5F0ED9C6">
      <w:pPr>
        <w:spacing w:line="360" w:lineRule="auto"/>
        <w:jc w:val="center"/>
        <w:rPr>
          <w:rFonts w:ascii="微软雅黑" w:hAnsi="微软雅黑" w:eastAsia="微软雅黑" w:cs="微软雅黑"/>
          <w:i w:val="0"/>
          <w:iCs w:val="0"/>
          <w:caps w:val="0"/>
          <w:color w:val="005A04"/>
          <w:spacing w:val="0"/>
          <w:sz w:val="24"/>
          <w:szCs w:val="24"/>
          <w:shd w:val="clear" w:fill="FFFFFF"/>
        </w:rPr>
      </w:pPr>
    </w:p>
    <w:p w14:paraId="789277D3">
      <w:pPr>
        <w:keepNext w:val="0"/>
        <w:keepLines w:val="0"/>
        <w:widowControl/>
        <w:suppressLineNumbers w:val="0"/>
        <w:ind w:firstLine="480" w:firstLineChars="200"/>
        <w:jc w:val="left"/>
      </w:pPr>
      <w:bookmarkStart w:id="0" w:name="_GoBack"/>
      <w:bookmarkEnd w:id="0"/>
      <w:r>
        <w:rPr>
          <w:rFonts w:ascii="微软雅黑" w:hAnsi="微软雅黑" w:eastAsia="微软雅黑" w:cs="微软雅黑"/>
          <w:i w:val="0"/>
          <w:iCs w:val="0"/>
          <w:caps w:val="0"/>
          <w:color w:val="333333"/>
          <w:spacing w:val="0"/>
          <w:kern w:val="0"/>
          <w:sz w:val="24"/>
          <w:szCs w:val="24"/>
          <w:bdr w:val="none" w:color="auto" w:sz="0" w:space="0"/>
          <w:shd w:val="clear" w:fill="FFFFFF"/>
          <w:lang w:val="en-US" w:eastAsia="zh-CN" w:bidi="ar"/>
        </w:rPr>
        <w:t>甲烷（CH</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subscript"/>
          <w:lang w:val="en-US" w:eastAsia="zh-CN" w:bidi="ar"/>
        </w:rPr>
        <w:t>4</w:t>
      </w:r>
      <w:r>
        <w:rPr>
          <w:rFonts w:hint="eastAsia" w:ascii="微软雅黑" w:hAnsi="微软雅黑" w:eastAsia="微软雅黑" w:cs="微软雅黑"/>
          <w:i w:val="0"/>
          <w:iCs w:val="0"/>
          <w:caps w:val="0"/>
          <w:color w:val="333333"/>
          <w:spacing w:val="0"/>
          <w:kern w:val="0"/>
          <w:sz w:val="24"/>
          <w:szCs w:val="24"/>
          <w:bdr w:val="none" w:color="auto" w:sz="0" w:space="0"/>
          <w:shd w:val="clear" w:fill="FFFFFF"/>
          <w:lang w:val="en-US" w:eastAsia="zh-CN" w:bidi="ar"/>
        </w:rPr>
        <w:t>）是全球第二大温室气体，其百年尺度的增温潜势是二氧化碳的28到34倍。森林土壤是大气甲烷最重要的生物汇，贡献超过60%的土壤CH</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subscript"/>
          <w:lang w:val="en-US" w:eastAsia="zh-CN" w:bidi="ar"/>
        </w:rPr>
        <w:t>4</w:t>
      </w:r>
      <w:r>
        <w:rPr>
          <w:rFonts w:hint="eastAsia" w:ascii="微软雅黑" w:hAnsi="微软雅黑" w:eastAsia="微软雅黑" w:cs="微软雅黑"/>
          <w:i w:val="0"/>
          <w:iCs w:val="0"/>
          <w:caps w:val="0"/>
          <w:color w:val="333333"/>
          <w:spacing w:val="0"/>
          <w:kern w:val="0"/>
          <w:sz w:val="24"/>
          <w:szCs w:val="24"/>
          <w:bdr w:val="none" w:color="auto" w:sz="0" w:space="0"/>
          <w:shd w:val="clear" w:fill="FFFFFF"/>
          <w:lang w:val="en-US" w:eastAsia="zh-CN" w:bidi="ar"/>
        </w:rPr>
        <w:t>汇功能。然而，传统手动静态箱法受限于每周或每月一次的采样频率，难捕捉降雨事件等短时环境变化对CH</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subscript"/>
          <w:lang w:val="en-US" w:eastAsia="zh-CN" w:bidi="ar"/>
        </w:rPr>
        <w:t>4</w:t>
      </w:r>
      <w:r>
        <w:rPr>
          <w:rFonts w:hint="eastAsia" w:ascii="微软雅黑" w:hAnsi="微软雅黑" w:eastAsia="微软雅黑" w:cs="微软雅黑"/>
          <w:i w:val="0"/>
          <w:iCs w:val="0"/>
          <w:caps w:val="0"/>
          <w:color w:val="333333"/>
          <w:spacing w:val="0"/>
          <w:kern w:val="0"/>
          <w:sz w:val="24"/>
          <w:szCs w:val="24"/>
          <w:bdr w:val="none" w:color="auto" w:sz="0" w:space="0"/>
          <w:shd w:val="clear" w:fill="FFFFFF"/>
          <w:lang w:val="en-US" w:eastAsia="zh-CN" w:bidi="ar"/>
        </w:rPr>
        <w:t>通量的影响，因此较难解析土壤温湿度动态变化与CH</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subscript"/>
          <w:lang w:val="en-US" w:eastAsia="zh-CN" w:bidi="ar"/>
        </w:rPr>
        <w:t>4</w:t>
      </w:r>
      <w:r>
        <w:rPr>
          <w:rFonts w:hint="eastAsia" w:ascii="微软雅黑" w:hAnsi="微软雅黑" w:eastAsia="微软雅黑" w:cs="微软雅黑"/>
          <w:i w:val="0"/>
          <w:iCs w:val="0"/>
          <w:caps w:val="0"/>
          <w:color w:val="333333"/>
          <w:spacing w:val="0"/>
          <w:kern w:val="0"/>
          <w:sz w:val="24"/>
          <w:szCs w:val="24"/>
          <w:bdr w:val="none" w:color="auto" w:sz="0" w:space="0"/>
          <w:shd w:val="clear" w:fill="FFFFFF"/>
          <w:lang w:val="en-US" w:eastAsia="zh-CN" w:bidi="ar"/>
        </w:rPr>
        <w:t>氧化过程的复杂关系，限制了我们对于CH</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subscript"/>
          <w:lang w:val="en-US" w:eastAsia="zh-CN" w:bidi="ar"/>
        </w:rPr>
        <w:t>4</w:t>
      </w:r>
      <w:r>
        <w:rPr>
          <w:rFonts w:hint="eastAsia" w:ascii="微软雅黑" w:hAnsi="微软雅黑" w:eastAsia="微软雅黑" w:cs="微软雅黑"/>
          <w:i w:val="0"/>
          <w:iCs w:val="0"/>
          <w:caps w:val="0"/>
          <w:color w:val="333333"/>
          <w:spacing w:val="0"/>
          <w:kern w:val="0"/>
          <w:sz w:val="24"/>
          <w:szCs w:val="24"/>
          <w:bdr w:val="none" w:color="auto" w:sz="0" w:space="0"/>
          <w:shd w:val="clear" w:fill="FFFFFF"/>
          <w:lang w:val="en-US" w:eastAsia="zh-CN" w:bidi="ar"/>
        </w:rPr>
        <w:t>氧化过程在动态环境条件下机制的深入理解。基于此，中国科学院沈阳应用生态研究所稳定同位素生态学团队依托清原森林生态系统国家野外科学观测研究站建立了高频连续土壤CH</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subscript"/>
          <w:lang w:val="en-US" w:eastAsia="zh-CN" w:bidi="ar"/>
        </w:rPr>
        <w:t>4</w:t>
      </w:r>
      <w:r>
        <w:rPr>
          <w:rFonts w:hint="eastAsia" w:ascii="微软雅黑" w:hAnsi="微软雅黑" w:eastAsia="微软雅黑" w:cs="微软雅黑"/>
          <w:i w:val="0"/>
          <w:iCs w:val="0"/>
          <w:caps w:val="0"/>
          <w:color w:val="333333"/>
          <w:spacing w:val="0"/>
          <w:kern w:val="0"/>
          <w:sz w:val="24"/>
          <w:szCs w:val="24"/>
          <w:bdr w:val="none" w:color="auto" w:sz="0" w:space="0"/>
          <w:shd w:val="clear" w:fill="FFFFFF"/>
          <w:lang w:val="en-US" w:eastAsia="zh-CN" w:bidi="ar"/>
        </w:rPr>
        <w:t>通量的自动采样和观测系统，对该站点森林土壤CH</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subscript"/>
          <w:lang w:val="en-US" w:eastAsia="zh-CN" w:bidi="ar"/>
        </w:rPr>
        <w:t>4</w:t>
      </w:r>
      <w:r>
        <w:rPr>
          <w:rFonts w:hint="eastAsia" w:ascii="微软雅黑" w:hAnsi="微软雅黑" w:eastAsia="微软雅黑" w:cs="微软雅黑"/>
          <w:i w:val="0"/>
          <w:iCs w:val="0"/>
          <w:caps w:val="0"/>
          <w:color w:val="333333"/>
          <w:spacing w:val="0"/>
          <w:kern w:val="0"/>
          <w:sz w:val="24"/>
          <w:szCs w:val="24"/>
          <w:bdr w:val="none" w:color="auto" w:sz="0" w:space="0"/>
          <w:shd w:val="clear" w:fill="FFFFFF"/>
          <w:lang w:val="en-US" w:eastAsia="zh-CN" w:bidi="ar"/>
        </w:rPr>
        <w:t>的通量进行了连续四年的观测（图1）。</w:t>
      </w:r>
    </w:p>
    <w:p w14:paraId="06CF6298">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50" w:afterAutospacing="0" w:line="368" w:lineRule="atLeast"/>
        <w:ind w:left="0" w:right="0" w:firstLine="480"/>
        <w:rPr>
          <w:rFonts w:hint="eastAsia" w:ascii="微软雅黑" w:hAnsi="微软雅黑" w:eastAsia="微软雅黑" w:cs="微软雅黑"/>
          <w:i w:val="0"/>
          <w:iCs w:val="0"/>
          <w:caps w:val="0"/>
          <w:color w:val="333333"/>
          <w:spacing w:val="0"/>
          <w:sz w:val="22"/>
          <w:szCs w:val="22"/>
        </w:rPr>
      </w:pPr>
      <w:r>
        <w:rPr>
          <w:rFonts w:hint="eastAsia" w:ascii="微软雅黑" w:hAnsi="微软雅黑" w:eastAsia="微软雅黑" w:cs="微软雅黑"/>
          <w:i w:val="0"/>
          <w:iCs w:val="0"/>
          <w:caps w:val="0"/>
          <w:color w:val="333333"/>
          <w:spacing w:val="0"/>
          <w:sz w:val="24"/>
          <w:szCs w:val="24"/>
          <w:bdr w:val="none" w:color="auto" w:sz="0" w:space="0"/>
          <w:shd w:val="clear" w:fill="FFFFFF"/>
        </w:rPr>
        <w:t>研究发现该森林土壤呈持续CH</w:t>
      </w:r>
      <w:r>
        <w:rPr>
          <w:rFonts w:hint="eastAsia" w:ascii="微软雅黑" w:hAnsi="微软雅黑" w:eastAsia="微软雅黑" w:cs="微软雅黑"/>
          <w:i w:val="0"/>
          <w:iCs w:val="0"/>
          <w:caps w:val="0"/>
          <w:color w:val="333333"/>
          <w:spacing w:val="0"/>
          <w:sz w:val="24"/>
          <w:szCs w:val="24"/>
          <w:bdr w:val="none" w:color="auto" w:sz="0" w:space="0"/>
          <w:shd w:val="clear" w:fill="FFFFFF"/>
          <w:vertAlign w:val="subscript"/>
        </w:rPr>
        <w:t>4</w:t>
      </w:r>
      <w:r>
        <w:rPr>
          <w:rFonts w:hint="eastAsia" w:ascii="微软雅黑" w:hAnsi="微软雅黑" w:eastAsia="微软雅黑" w:cs="微软雅黑"/>
          <w:i w:val="0"/>
          <w:iCs w:val="0"/>
          <w:caps w:val="0"/>
          <w:color w:val="333333"/>
          <w:spacing w:val="0"/>
          <w:sz w:val="24"/>
          <w:szCs w:val="24"/>
          <w:bdr w:val="none" w:color="auto" w:sz="0" w:space="0"/>
          <w:shd w:val="clear" w:fill="FFFFFF"/>
        </w:rPr>
        <w:t>汇特征，年均吸收量为5.2 kg CH</w:t>
      </w:r>
      <w:r>
        <w:rPr>
          <w:rFonts w:hint="eastAsia" w:ascii="微软雅黑" w:hAnsi="微软雅黑" w:eastAsia="微软雅黑" w:cs="微软雅黑"/>
          <w:i w:val="0"/>
          <w:iCs w:val="0"/>
          <w:caps w:val="0"/>
          <w:color w:val="333333"/>
          <w:spacing w:val="0"/>
          <w:sz w:val="24"/>
          <w:szCs w:val="24"/>
          <w:bdr w:val="none" w:color="auto" w:sz="0" w:space="0"/>
          <w:shd w:val="clear" w:fill="FFFFFF"/>
          <w:vertAlign w:val="subscript"/>
        </w:rPr>
        <w:t>4</w:t>
      </w:r>
      <w:r>
        <w:rPr>
          <w:rFonts w:hint="eastAsia" w:ascii="微软雅黑" w:hAnsi="微软雅黑" w:eastAsia="微软雅黑" w:cs="微软雅黑"/>
          <w:i w:val="0"/>
          <w:iCs w:val="0"/>
          <w:caps w:val="0"/>
          <w:color w:val="333333"/>
          <w:spacing w:val="0"/>
          <w:sz w:val="24"/>
          <w:szCs w:val="24"/>
          <w:bdr w:val="none" w:color="auto" w:sz="0" w:space="0"/>
          <w:shd w:val="clear" w:fill="FFFFFF"/>
        </w:rPr>
        <w:t>-C ha</w:t>
      </w:r>
      <w:r>
        <w:rPr>
          <w:rFonts w:hint="eastAsia" w:ascii="微软雅黑" w:hAnsi="微软雅黑" w:eastAsia="微软雅黑" w:cs="微软雅黑"/>
          <w:i w:val="0"/>
          <w:iCs w:val="0"/>
          <w:caps w:val="0"/>
          <w:color w:val="333333"/>
          <w:spacing w:val="0"/>
          <w:sz w:val="24"/>
          <w:szCs w:val="24"/>
          <w:bdr w:val="none" w:color="auto" w:sz="0" w:space="0"/>
          <w:shd w:val="clear" w:fill="FFFFFF"/>
          <w:vertAlign w:val="superscript"/>
        </w:rPr>
        <w:t>-1</w:t>
      </w:r>
      <w:r>
        <w:rPr>
          <w:rFonts w:hint="eastAsia" w:ascii="微软雅黑" w:hAnsi="微软雅黑" w:eastAsia="微软雅黑" w:cs="微软雅黑"/>
          <w:i w:val="0"/>
          <w:iCs w:val="0"/>
          <w:caps w:val="0"/>
          <w:color w:val="333333"/>
          <w:spacing w:val="0"/>
          <w:sz w:val="24"/>
          <w:szCs w:val="24"/>
          <w:bdr w:val="none" w:color="auto" w:sz="0" w:space="0"/>
          <w:shd w:val="clear" w:fill="FFFFFF"/>
        </w:rPr>
        <w:t> yr</w:t>
      </w:r>
      <w:r>
        <w:rPr>
          <w:rFonts w:hint="eastAsia" w:ascii="微软雅黑" w:hAnsi="微软雅黑" w:eastAsia="微软雅黑" w:cs="微软雅黑"/>
          <w:i w:val="0"/>
          <w:iCs w:val="0"/>
          <w:caps w:val="0"/>
          <w:color w:val="333333"/>
          <w:spacing w:val="0"/>
          <w:sz w:val="24"/>
          <w:szCs w:val="24"/>
          <w:bdr w:val="none" w:color="auto" w:sz="0" w:space="0"/>
          <w:shd w:val="clear" w:fill="FFFFFF"/>
          <w:vertAlign w:val="superscript"/>
        </w:rPr>
        <w:t>-1</w:t>
      </w:r>
      <w:r>
        <w:rPr>
          <w:rFonts w:hint="eastAsia" w:ascii="微软雅黑" w:hAnsi="微软雅黑" w:eastAsia="微软雅黑" w:cs="微软雅黑"/>
          <w:i w:val="0"/>
          <w:iCs w:val="0"/>
          <w:caps w:val="0"/>
          <w:color w:val="333333"/>
          <w:spacing w:val="0"/>
          <w:sz w:val="24"/>
          <w:szCs w:val="24"/>
          <w:bdr w:val="none" w:color="auto" w:sz="0" w:space="0"/>
          <w:shd w:val="clear" w:fill="FFFFFF"/>
        </w:rPr>
        <w:t>。CH</w:t>
      </w:r>
      <w:r>
        <w:rPr>
          <w:rFonts w:hint="eastAsia" w:ascii="微软雅黑" w:hAnsi="微软雅黑" w:eastAsia="微软雅黑" w:cs="微软雅黑"/>
          <w:i w:val="0"/>
          <w:iCs w:val="0"/>
          <w:caps w:val="0"/>
          <w:color w:val="333333"/>
          <w:spacing w:val="0"/>
          <w:sz w:val="24"/>
          <w:szCs w:val="24"/>
          <w:bdr w:val="none" w:color="auto" w:sz="0" w:space="0"/>
          <w:shd w:val="clear" w:fill="FFFFFF"/>
          <w:vertAlign w:val="subscript"/>
        </w:rPr>
        <w:t>4</w:t>
      </w:r>
      <w:r>
        <w:rPr>
          <w:rFonts w:hint="eastAsia" w:ascii="微软雅黑" w:hAnsi="微软雅黑" w:eastAsia="微软雅黑" w:cs="微软雅黑"/>
          <w:i w:val="0"/>
          <w:iCs w:val="0"/>
          <w:caps w:val="0"/>
          <w:color w:val="333333"/>
          <w:spacing w:val="0"/>
          <w:sz w:val="24"/>
          <w:szCs w:val="24"/>
          <w:bdr w:val="none" w:color="auto" w:sz="0" w:space="0"/>
          <w:shd w:val="clear" w:fill="FFFFFF"/>
        </w:rPr>
        <w:t>吸收速率呈现显著季节动态。夏季吸收速率高，吸收率峰值为244 µg C m</w:t>
      </w:r>
      <w:r>
        <w:rPr>
          <w:rFonts w:hint="eastAsia" w:ascii="微软雅黑" w:hAnsi="微软雅黑" w:eastAsia="微软雅黑" w:cs="微软雅黑"/>
          <w:i w:val="0"/>
          <w:iCs w:val="0"/>
          <w:caps w:val="0"/>
          <w:color w:val="333333"/>
          <w:spacing w:val="0"/>
          <w:sz w:val="24"/>
          <w:szCs w:val="24"/>
          <w:bdr w:val="none" w:color="auto" w:sz="0" w:space="0"/>
          <w:shd w:val="clear" w:fill="FFFFFF"/>
          <w:vertAlign w:val="superscript"/>
        </w:rPr>
        <w:t>-2</w:t>
      </w:r>
      <w:r>
        <w:rPr>
          <w:rFonts w:hint="eastAsia" w:ascii="微软雅黑" w:hAnsi="微软雅黑" w:eastAsia="微软雅黑" w:cs="微软雅黑"/>
          <w:i w:val="0"/>
          <w:iCs w:val="0"/>
          <w:caps w:val="0"/>
          <w:color w:val="333333"/>
          <w:spacing w:val="0"/>
          <w:sz w:val="24"/>
          <w:szCs w:val="24"/>
          <w:bdr w:val="none" w:color="auto" w:sz="0" w:space="0"/>
          <w:shd w:val="clear" w:fill="FFFFFF"/>
        </w:rPr>
        <w:t> h</w:t>
      </w:r>
      <w:r>
        <w:rPr>
          <w:rFonts w:hint="eastAsia" w:ascii="微软雅黑" w:hAnsi="微软雅黑" w:eastAsia="微软雅黑" w:cs="微软雅黑"/>
          <w:i w:val="0"/>
          <w:iCs w:val="0"/>
          <w:caps w:val="0"/>
          <w:color w:val="333333"/>
          <w:spacing w:val="0"/>
          <w:sz w:val="24"/>
          <w:szCs w:val="24"/>
          <w:bdr w:val="none" w:color="auto" w:sz="0" w:space="0"/>
          <w:shd w:val="clear" w:fill="FFFFFF"/>
          <w:vertAlign w:val="superscript"/>
        </w:rPr>
        <w:t>-1</w:t>
      </w:r>
      <w:r>
        <w:rPr>
          <w:rFonts w:hint="eastAsia" w:ascii="微软雅黑" w:hAnsi="微软雅黑" w:eastAsia="微软雅黑" w:cs="微软雅黑"/>
          <w:i w:val="0"/>
          <w:iCs w:val="0"/>
          <w:caps w:val="0"/>
          <w:color w:val="333333"/>
          <w:spacing w:val="0"/>
          <w:sz w:val="24"/>
          <w:szCs w:val="24"/>
          <w:bdr w:val="none" w:color="auto" w:sz="0" w:space="0"/>
          <w:shd w:val="clear" w:fill="FFFFFF"/>
        </w:rPr>
        <w:t>，冬季吸收速率低，最低吸收率仅为0.8 µg C m</w:t>
      </w:r>
      <w:r>
        <w:rPr>
          <w:rFonts w:hint="eastAsia" w:ascii="微软雅黑" w:hAnsi="微软雅黑" w:eastAsia="微软雅黑" w:cs="微软雅黑"/>
          <w:i w:val="0"/>
          <w:iCs w:val="0"/>
          <w:caps w:val="0"/>
          <w:color w:val="333333"/>
          <w:spacing w:val="0"/>
          <w:sz w:val="24"/>
          <w:szCs w:val="24"/>
          <w:bdr w:val="none" w:color="auto" w:sz="0" w:space="0"/>
          <w:shd w:val="clear" w:fill="FFFFFF"/>
          <w:vertAlign w:val="superscript"/>
        </w:rPr>
        <w:t>-2</w:t>
      </w:r>
      <w:r>
        <w:rPr>
          <w:rFonts w:hint="eastAsia" w:ascii="微软雅黑" w:hAnsi="微软雅黑" w:eastAsia="微软雅黑" w:cs="微软雅黑"/>
          <w:i w:val="0"/>
          <w:iCs w:val="0"/>
          <w:caps w:val="0"/>
          <w:color w:val="333333"/>
          <w:spacing w:val="0"/>
          <w:sz w:val="24"/>
          <w:szCs w:val="24"/>
          <w:bdr w:val="none" w:color="auto" w:sz="0" w:space="0"/>
          <w:shd w:val="clear" w:fill="FFFFFF"/>
        </w:rPr>
        <w:t> h</w:t>
      </w:r>
      <w:r>
        <w:rPr>
          <w:rFonts w:hint="eastAsia" w:ascii="微软雅黑" w:hAnsi="微软雅黑" w:eastAsia="微软雅黑" w:cs="微软雅黑"/>
          <w:i w:val="0"/>
          <w:iCs w:val="0"/>
          <w:caps w:val="0"/>
          <w:color w:val="333333"/>
          <w:spacing w:val="0"/>
          <w:sz w:val="24"/>
          <w:szCs w:val="24"/>
          <w:bdr w:val="none" w:color="auto" w:sz="0" w:space="0"/>
          <w:shd w:val="clear" w:fill="FFFFFF"/>
          <w:vertAlign w:val="superscript"/>
        </w:rPr>
        <w:t>-1</w:t>
      </w:r>
      <w:r>
        <w:rPr>
          <w:rFonts w:hint="eastAsia" w:ascii="微软雅黑" w:hAnsi="微软雅黑" w:eastAsia="微软雅黑" w:cs="微软雅黑"/>
          <w:i w:val="0"/>
          <w:iCs w:val="0"/>
          <w:caps w:val="0"/>
          <w:color w:val="333333"/>
          <w:spacing w:val="0"/>
          <w:sz w:val="24"/>
          <w:szCs w:val="24"/>
          <w:bdr w:val="none" w:color="auto" w:sz="0" w:space="0"/>
          <w:shd w:val="clear" w:fill="FFFFFF"/>
        </w:rPr>
        <w:t>。土壤CH</w:t>
      </w:r>
      <w:r>
        <w:rPr>
          <w:rFonts w:hint="eastAsia" w:ascii="微软雅黑" w:hAnsi="微软雅黑" w:eastAsia="微软雅黑" w:cs="微软雅黑"/>
          <w:i w:val="0"/>
          <w:iCs w:val="0"/>
          <w:caps w:val="0"/>
          <w:color w:val="333333"/>
          <w:spacing w:val="0"/>
          <w:sz w:val="24"/>
          <w:szCs w:val="24"/>
          <w:bdr w:val="none" w:color="auto" w:sz="0" w:space="0"/>
          <w:shd w:val="clear" w:fill="FFFFFF"/>
          <w:vertAlign w:val="subscript"/>
        </w:rPr>
        <w:t>4</w:t>
      </w:r>
      <w:r>
        <w:rPr>
          <w:rFonts w:hint="eastAsia" w:ascii="微软雅黑" w:hAnsi="微软雅黑" w:eastAsia="微软雅黑" w:cs="微软雅黑"/>
          <w:i w:val="0"/>
          <w:iCs w:val="0"/>
          <w:caps w:val="0"/>
          <w:color w:val="333333"/>
          <w:spacing w:val="0"/>
          <w:sz w:val="24"/>
          <w:szCs w:val="24"/>
          <w:bdr w:val="none" w:color="auto" w:sz="0" w:space="0"/>
          <w:shd w:val="clear" w:fill="FFFFFF"/>
        </w:rPr>
        <w:t>吸收主要受土壤温度与湿度的双重调控机制影响，CH</w:t>
      </w:r>
      <w:r>
        <w:rPr>
          <w:rFonts w:hint="eastAsia" w:ascii="微软雅黑" w:hAnsi="微软雅黑" w:eastAsia="微软雅黑" w:cs="微软雅黑"/>
          <w:i w:val="0"/>
          <w:iCs w:val="0"/>
          <w:caps w:val="0"/>
          <w:color w:val="333333"/>
          <w:spacing w:val="0"/>
          <w:sz w:val="24"/>
          <w:szCs w:val="24"/>
          <w:bdr w:val="none" w:color="auto" w:sz="0" w:space="0"/>
          <w:shd w:val="clear" w:fill="FFFFFF"/>
          <w:vertAlign w:val="subscript"/>
        </w:rPr>
        <w:t>4</w:t>
      </w:r>
      <w:r>
        <w:rPr>
          <w:rFonts w:hint="eastAsia" w:ascii="微软雅黑" w:hAnsi="微软雅黑" w:eastAsia="微软雅黑" w:cs="微软雅黑"/>
          <w:i w:val="0"/>
          <w:iCs w:val="0"/>
          <w:caps w:val="0"/>
          <w:color w:val="333333"/>
          <w:spacing w:val="0"/>
          <w:sz w:val="24"/>
          <w:szCs w:val="24"/>
          <w:bdr w:val="none" w:color="auto" w:sz="0" w:space="0"/>
          <w:shd w:val="clear" w:fill="FFFFFF"/>
        </w:rPr>
        <w:t>氧化细菌丰度和土壤有机碳含量也起到一定作用。简单线性回归模型表明，土壤温度和湿度分别解释了CH</w:t>
      </w:r>
      <w:r>
        <w:rPr>
          <w:rFonts w:hint="eastAsia" w:ascii="微软雅黑" w:hAnsi="微软雅黑" w:eastAsia="微软雅黑" w:cs="微软雅黑"/>
          <w:i w:val="0"/>
          <w:iCs w:val="0"/>
          <w:caps w:val="0"/>
          <w:color w:val="333333"/>
          <w:spacing w:val="0"/>
          <w:sz w:val="24"/>
          <w:szCs w:val="24"/>
          <w:bdr w:val="none" w:color="auto" w:sz="0" w:space="0"/>
          <w:shd w:val="clear" w:fill="FFFFFF"/>
          <w:vertAlign w:val="subscript"/>
        </w:rPr>
        <w:t>4</w:t>
      </w:r>
      <w:r>
        <w:rPr>
          <w:rFonts w:hint="eastAsia" w:ascii="微软雅黑" w:hAnsi="微软雅黑" w:eastAsia="微软雅黑" w:cs="微软雅黑"/>
          <w:i w:val="0"/>
          <w:iCs w:val="0"/>
          <w:caps w:val="0"/>
          <w:color w:val="333333"/>
          <w:spacing w:val="0"/>
          <w:sz w:val="24"/>
          <w:szCs w:val="24"/>
          <w:bdr w:val="none" w:color="auto" w:sz="0" w:space="0"/>
          <w:shd w:val="clear" w:fill="FFFFFF"/>
        </w:rPr>
        <w:t>吸收变异性的36%和56%（图2）。研究发现温度和湿度双因子（Temp-WFPS）模型能解释CH</w:t>
      </w:r>
      <w:r>
        <w:rPr>
          <w:rFonts w:hint="eastAsia" w:ascii="微软雅黑" w:hAnsi="微软雅黑" w:eastAsia="微软雅黑" w:cs="微软雅黑"/>
          <w:i w:val="0"/>
          <w:iCs w:val="0"/>
          <w:caps w:val="0"/>
          <w:color w:val="333333"/>
          <w:spacing w:val="0"/>
          <w:sz w:val="24"/>
          <w:szCs w:val="24"/>
          <w:bdr w:val="none" w:color="auto" w:sz="0" w:space="0"/>
          <w:shd w:val="clear" w:fill="FFFFFF"/>
          <w:vertAlign w:val="subscript"/>
        </w:rPr>
        <w:t>4</w:t>
      </w:r>
      <w:r>
        <w:rPr>
          <w:rFonts w:hint="eastAsia" w:ascii="微软雅黑" w:hAnsi="微软雅黑" w:eastAsia="微软雅黑" w:cs="微软雅黑"/>
          <w:i w:val="0"/>
          <w:iCs w:val="0"/>
          <w:caps w:val="0"/>
          <w:color w:val="333333"/>
          <w:spacing w:val="0"/>
          <w:sz w:val="24"/>
          <w:szCs w:val="24"/>
          <w:bdr w:val="none" w:color="auto" w:sz="0" w:space="0"/>
          <w:shd w:val="clear" w:fill="FFFFFF"/>
        </w:rPr>
        <w:t>年吸收量变异性的86%，甚至高于扩散反应过程模型的53%。研究证实传统月尺度采样会导致年吸收量估算偏差达19%，采用自动观测系统显著提升通量评估可靠性。本研究通过土壤CH</w:t>
      </w:r>
      <w:r>
        <w:rPr>
          <w:rFonts w:hint="eastAsia" w:ascii="微软雅黑" w:hAnsi="微软雅黑" w:eastAsia="微软雅黑" w:cs="微软雅黑"/>
          <w:i w:val="0"/>
          <w:iCs w:val="0"/>
          <w:caps w:val="0"/>
          <w:color w:val="333333"/>
          <w:spacing w:val="0"/>
          <w:sz w:val="24"/>
          <w:szCs w:val="24"/>
          <w:bdr w:val="none" w:color="auto" w:sz="0" w:space="0"/>
          <w:shd w:val="clear" w:fill="FFFFFF"/>
          <w:vertAlign w:val="subscript"/>
        </w:rPr>
        <w:t>4</w:t>
      </w:r>
      <w:r>
        <w:rPr>
          <w:rFonts w:hint="eastAsia" w:ascii="微软雅黑" w:hAnsi="微软雅黑" w:eastAsia="微软雅黑" w:cs="微软雅黑"/>
          <w:i w:val="0"/>
          <w:iCs w:val="0"/>
          <w:caps w:val="0"/>
          <w:color w:val="333333"/>
          <w:spacing w:val="0"/>
          <w:sz w:val="24"/>
          <w:szCs w:val="24"/>
          <w:bdr w:val="none" w:color="auto" w:sz="0" w:space="0"/>
          <w:shd w:val="clear" w:fill="FFFFFF"/>
        </w:rPr>
        <w:t>通量的高频测量，提供了详尽的日、季节和年度CH</w:t>
      </w:r>
      <w:r>
        <w:rPr>
          <w:rFonts w:hint="eastAsia" w:ascii="微软雅黑" w:hAnsi="微软雅黑" w:eastAsia="微软雅黑" w:cs="微软雅黑"/>
          <w:i w:val="0"/>
          <w:iCs w:val="0"/>
          <w:caps w:val="0"/>
          <w:color w:val="333333"/>
          <w:spacing w:val="0"/>
          <w:sz w:val="24"/>
          <w:szCs w:val="24"/>
          <w:bdr w:val="none" w:color="auto" w:sz="0" w:space="0"/>
          <w:shd w:val="clear" w:fill="FFFFFF"/>
          <w:vertAlign w:val="subscript"/>
        </w:rPr>
        <w:t>4</w:t>
      </w:r>
      <w:r>
        <w:rPr>
          <w:rFonts w:hint="eastAsia" w:ascii="微软雅黑" w:hAnsi="微软雅黑" w:eastAsia="微软雅黑" w:cs="微软雅黑"/>
          <w:i w:val="0"/>
          <w:iCs w:val="0"/>
          <w:caps w:val="0"/>
          <w:color w:val="333333"/>
          <w:spacing w:val="0"/>
          <w:sz w:val="24"/>
          <w:szCs w:val="24"/>
          <w:bdr w:val="none" w:color="auto" w:sz="0" w:space="0"/>
          <w:shd w:val="clear" w:fill="FFFFFF"/>
        </w:rPr>
        <w:t>吸收测量数据及其对环境因素变化的响应，有助于更好的理解土壤温湿度对土壤CH</w:t>
      </w:r>
      <w:r>
        <w:rPr>
          <w:rFonts w:hint="eastAsia" w:ascii="微软雅黑" w:hAnsi="微软雅黑" w:eastAsia="微软雅黑" w:cs="微软雅黑"/>
          <w:i w:val="0"/>
          <w:iCs w:val="0"/>
          <w:caps w:val="0"/>
          <w:color w:val="333333"/>
          <w:spacing w:val="0"/>
          <w:sz w:val="24"/>
          <w:szCs w:val="24"/>
          <w:bdr w:val="none" w:color="auto" w:sz="0" w:space="0"/>
          <w:shd w:val="clear" w:fill="FFFFFF"/>
          <w:vertAlign w:val="subscript"/>
        </w:rPr>
        <w:t>4</w:t>
      </w:r>
      <w:r>
        <w:rPr>
          <w:rFonts w:hint="eastAsia" w:ascii="微软雅黑" w:hAnsi="微软雅黑" w:eastAsia="微软雅黑" w:cs="微软雅黑"/>
          <w:i w:val="0"/>
          <w:iCs w:val="0"/>
          <w:caps w:val="0"/>
          <w:color w:val="333333"/>
          <w:spacing w:val="0"/>
          <w:sz w:val="24"/>
          <w:szCs w:val="24"/>
          <w:bdr w:val="none" w:color="auto" w:sz="0" w:space="0"/>
          <w:shd w:val="clear" w:fill="FFFFFF"/>
        </w:rPr>
        <w:t>吸收调控机制，推动更精确的生物地球化学模型进展，从而提高全球CH</w:t>
      </w:r>
      <w:r>
        <w:rPr>
          <w:rFonts w:hint="eastAsia" w:ascii="微软雅黑" w:hAnsi="微软雅黑" w:eastAsia="微软雅黑" w:cs="微软雅黑"/>
          <w:i w:val="0"/>
          <w:iCs w:val="0"/>
          <w:caps w:val="0"/>
          <w:color w:val="333333"/>
          <w:spacing w:val="0"/>
          <w:sz w:val="24"/>
          <w:szCs w:val="24"/>
          <w:bdr w:val="none" w:color="auto" w:sz="0" w:space="0"/>
          <w:shd w:val="clear" w:fill="FFFFFF"/>
          <w:vertAlign w:val="subscript"/>
        </w:rPr>
        <w:t>4</w:t>
      </w:r>
      <w:r>
        <w:rPr>
          <w:rFonts w:hint="eastAsia" w:ascii="微软雅黑" w:hAnsi="微软雅黑" w:eastAsia="微软雅黑" w:cs="微软雅黑"/>
          <w:i w:val="0"/>
          <w:iCs w:val="0"/>
          <w:caps w:val="0"/>
          <w:color w:val="333333"/>
          <w:spacing w:val="0"/>
          <w:sz w:val="24"/>
          <w:szCs w:val="24"/>
          <w:bdr w:val="none" w:color="auto" w:sz="0" w:space="0"/>
          <w:shd w:val="clear" w:fill="FFFFFF"/>
        </w:rPr>
        <w:t>预算的估算。此外，该研究还系统分析了全球森林CH</w:t>
      </w:r>
      <w:r>
        <w:rPr>
          <w:rFonts w:hint="eastAsia" w:ascii="微软雅黑" w:hAnsi="微软雅黑" w:eastAsia="微软雅黑" w:cs="微软雅黑"/>
          <w:i w:val="0"/>
          <w:iCs w:val="0"/>
          <w:caps w:val="0"/>
          <w:color w:val="333333"/>
          <w:spacing w:val="0"/>
          <w:sz w:val="24"/>
          <w:szCs w:val="24"/>
          <w:bdr w:val="none" w:color="auto" w:sz="0" w:space="0"/>
          <w:shd w:val="clear" w:fill="FFFFFF"/>
          <w:vertAlign w:val="subscript"/>
        </w:rPr>
        <w:t>4</w:t>
      </w:r>
      <w:r>
        <w:rPr>
          <w:rFonts w:hint="eastAsia" w:ascii="微软雅黑" w:hAnsi="微软雅黑" w:eastAsia="微软雅黑" w:cs="微软雅黑"/>
          <w:i w:val="0"/>
          <w:iCs w:val="0"/>
          <w:caps w:val="0"/>
          <w:color w:val="333333"/>
          <w:spacing w:val="0"/>
          <w:sz w:val="24"/>
          <w:szCs w:val="24"/>
          <w:bdr w:val="none" w:color="auto" w:sz="0" w:space="0"/>
          <w:shd w:val="clear" w:fill="FFFFFF"/>
        </w:rPr>
        <w:t>年吸收速率及其影响因素之间的关系。</w:t>
      </w:r>
    </w:p>
    <w:p w14:paraId="369CA1EB">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50" w:afterAutospacing="0" w:line="368" w:lineRule="atLeast"/>
        <w:ind w:left="0" w:right="0" w:firstLine="480"/>
        <w:rPr>
          <w:rFonts w:hint="eastAsia" w:ascii="微软雅黑" w:hAnsi="微软雅黑" w:eastAsia="微软雅黑" w:cs="微软雅黑"/>
          <w:i w:val="0"/>
          <w:iCs w:val="0"/>
          <w:caps w:val="0"/>
          <w:color w:val="333333"/>
          <w:spacing w:val="0"/>
          <w:sz w:val="22"/>
          <w:szCs w:val="22"/>
        </w:rPr>
      </w:pPr>
      <w:r>
        <w:rPr>
          <w:rFonts w:hint="eastAsia" w:ascii="微软雅黑" w:hAnsi="微软雅黑" w:eastAsia="微软雅黑" w:cs="微软雅黑"/>
          <w:i w:val="0"/>
          <w:iCs w:val="0"/>
          <w:caps w:val="0"/>
          <w:color w:val="333333"/>
          <w:spacing w:val="0"/>
          <w:sz w:val="24"/>
          <w:szCs w:val="24"/>
          <w:bdr w:val="none" w:color="auto" w:sz="0" w:space="0"/>
          <w:shd w:val="clear" w:fill="FFFFFF"/>
        </w:rPr>
        <w:t>研究成果以“Temperature and moisture both control net methane uptake in a temperate forest soil”为题，于2025年发表于《Agricultural and Forest Meteorology》期刊上。中国科学院沈阳生态所博士研究生刘娱齐为第一作者，方运霆研究员为通讯作者。该研究得到了国家自然科学基金委重点项目和中国科学院青年创新促进会等项目的支持。</w:t>
      </w:r>
    </w:p>
    <w:p w14:paraId="55689D2A">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50" w:afterAutospacing="0" w:line="368" w:lineRule="atLeast"/>
        <w:ind w:left="0" w:right="0" w:firstLine="420"/>
        <w:jc w:val="both"/>
        <w:rPr>
          <w:rFonts w:hint="eastAsia" w:ascii="微软雅黑" w:hAnsi="微软雅黑" w:eastAsia="微软雅黑" w:cs="微软雅黑"/>
          <w:i w:val="0"/>
          <w:iCs w:val="0"/>
          <w:caps w:val="0"/>
          <w:color w:val="333333"/>
          <w:spacing w:val="0"/>
          <w:sz w:val="22"/>
          <w:szCs w:val="22"/>
        </w:rPr>
      </w:pPr>
      <w:r>
        <w:rPr>
          <w:rFonts w:hint="eastAsia" w:ascii="微软雅黑" w:hAnsi="微软雅黑" w:eastAsia="微软雅黑" w:cs="微软雅黑"/>
          <w:i w:val="0"/>
          <w:iCs w:val="0"/>
          <w:caps w:val="0"/>
          <w:color w:val="333333"/>
          <w:spacing w:val="0"/>
          <w:sz w:val="22"/>
          <w:szCs w:val="22"/>
          <w:bdr w:val="none" w:color="auto" w:sz="0" w:space="0"/>
          <w:shd w:val="clear" w:fill="FFFFFF"/>
        </w:rPr>
        <w:t>原文链接：</w:t>
      </w:r>
      <w:r>
        <w:rPr>
          <w:rFonts w:hint="eastAsia" w:ascii="微软雅黑" w:hAnsi="微软雅黑" w:eastAsia="微软雅黑" w:cs="微软雅黑"/>
          <w:i w:val="0"/>
          <w:iCs w:val="0"/>
          <w:caps w:val="0"/>
          <w:color w:val="252525"/>
          <w:spacing w:val="0"/>
          <w:sz w:val="22"/>
          <w:szCs w:val="22"/>
          <w:u w:val="none"/>
          <w:bdr w:val="none" w:color="auto" w:sz="0" w:space="0"/>
          <w:shd w:val="clear" w:fill="FFFFFF"/>
        </w:rPr>
        <w:fldChar w:fldCharType="begin"/>
      </w:r>
      <w:r>
        <w:rPr>
          <w:rFonts w:hint="eastAsia" w:ascii="微软雅黑" w:hAnsi="微软雅黑" w:eastAsia="微软雅黑" w:cs="微软雅黑"/>
          <w:i w:val="0"/>
          <w:iCs w:val="0"/>
          <w:caps w:val="0"/>
          <w:color w:val="252525"/>
          <w:spacing w:val="0"/>
          <w:sz w:val="22"/>
          <w:szCs w:val="22"/>
          <w:u w:val="none"/>
          <w:bdr w:val="none" w:color="auto" w:sz="0" w:space="0"/>
          <w:shd w:val="clear" w:fill="FFFFFF"/>
        </w:rPr>
        <w:instrText xml:space="preserve"> HYPERLINK "https://doi.org/10.1016/j.agrformet.2025.110574" </w:instrText>
      </w:r>
      <w:r>
        <w:rPr>
          <w:rFonts w:hint="eastAsia" w:ascii="微软雅黑" w:hAnsi="微软雅黑" w:eastAsia="微软雅黑" w:cs="微软雅黑"/>
          <w:i w:val="0"/>
          <w:iCs w:val="0"/>
          <w:caps w:val="0"/>
          <w:color w:val="252525"/>
          <w:spacing w:val="0"/>
          <w:sz w:val="22"/>
          <w:szCs w:val="22"/>
          <w:u w:val="none"/>
          <w:bdr w:val="none" w:color="auto" w:sz="0" w:space="0"/>
          <w:shd w:val="clear" w:fill="FFFFFF"/>
        </w:rPr>
        <w:fldChar w:fldCharType="separate"/>
      </w:r>
      <w:r>
        <w:rPr>
          <w:rStyle w:val="5"/>
          <w:rFonts w:hint="eastAsia" w:ascii="微软雅黑" w:hAnsi="微软雅黑" w:eastAsia="微软雅黑" w:cs="微软雅黑"/>
          <w:i w:val="0"/>
          <w:iCs w:val="0"/>
          <w:caps w:val="0"/>
          <w:color w:val="252525"/>
          <w:spacing w:val="0"/>
          <w:sz w:val="22"/>
          <w:szCs w:val="22"/>
          <w:u w:val="none"/>
          <w:bdr w:val="none" w:color="auto" w:sz="0" w:space="0"/>
          <w:shd w:val="clear" w:fill="FFFFFF"/>
        </w:rPr>
        <w:t>https://doi.org/10.1016/j.agrformet.2025.110574</w:t>
      </w:r>
      <w:r>
        <w:rPr>
          <w:rFonts w:hint="eastAsia" w:ascii="微软雅黑" w:hAnsi="微软雅黑" w:eastAsia="微软雅黑" w:cs="微软雅黑"/>
          <w:i w:val="0"/>
          <w:iCs w:val="0"/>
          <w:caps w:val="0"/>
          <w:color w:val="252525"/>
          <w:spacing w:val="0"/>
          <w:sz w:val="22"/>
          <w:szCs w:val="22"/>
          <w:u w:val="none"/>
          <w:bdr w:val="none" w:color="auto" w:sz="0" w:space="0"/>
          <w:shd w:val="clear" w:fill="FFFFFF"/>
        </w:rPr>
        <w:fldChar w:fldCharType="end"/>
      </w:r>
    </w:p>
    <w:p w14:paraId="080549C7">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50" w:afterAutospacing="0" w:line="368" w:lineRule="atLeast"/>
        <w:ind w:left="0" w:right="0" w:firstLine="420"/>
        <w:jc w:val="both"/>
        <w:rPr>
          <w:rFonts w:hint="eastAsia" w:ascii="微软雅黑" w:hAnsi="微软雅黑" w:eastAsia="微软雅黑" w:cs="微软雅黑"/>
          <w:i w:val="0"/>
          <w:iCs w:val="0"/>
          <w:caps w:val="0"/>
          <w:color w:val="333333"/>
          <w:spacing w:val="0"/>
          <w:sz w:val="22"/>
          <w:szCs w:val="22"/>
        </w:rPr>
      </w:pPr>
      <w:r>
        <w:rPr>
          <w:rFonts w:hint="eastAsia" w:ascii="微软雅黑" w:hAnsi="微软雅黑" w:eastAsia="微软雅黑" w:cs="微软雅黑"/>
          <w:i w:val="0"/>
          <w:iCs w:val="0"/>
          <w:caps w:val="0"/>
          <w:color w:val="333333"/>
          <w:spacing w:val="0"/>
          <w:sz w:val="22"/>
          <w:szCs w:val="22"/>
          <w:bdr w:val="none" w:color="auto" w:sz="0" w:space="0"/>
          <w:shd w:val="clear" w:fill="FFFFFF"/>
        </w:rPr>
        <w:drawing>
          <wp:inline distT="0" distB="0" distL="114300" distR="114300">
            <wp:extent cx="5260975" cy="3620135"/>
            <wp:effectExtent l="0" t="0" r="15875" b="1841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260975" cy="3620135"/>
                    </a:xfrm>
                    <a:prstGeom prst="rect">
                      <a:avLst/>
                    </a:prstGeom>
                    <a:noFill/>
                    <a:ln w="9525">
                      <a:noFill/>
                    </a:ln>
                  </pic:spPr>
                </pic:pic>
              </a:graphicData>
            </a:graphic>
          </wp:inline>
        </w:drawing>
      </w:r>
    </w:p>
    <w:p w14:paraId="02D367D1">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50" w:afterAutospacing="0" w:line="368" w:lineRule="atLeast"/>
        <w:ind w:right="0"/>
        <w:jc w:val="both"/>
        <w:rPr>
          <w:rFonts w:hint="eastAsia" w:ascii="微软雅黑" w:hAnsi="微软雅黑" w:eastAsia="微软雅黑" w:cs="微软雅黑"/>
          <w:i w:val="0"/>
          <w:iCs w:val="0"/>
          <w:caps w:val="0"/>
          <w:color w:val="333333"/>
          <w:spacing w:val="0"/>
          <w:sz w:val="22"/>
          <w:szCs w:val="22"/>
        </w:rPr>
      </w:pPr>
      <w:r>
        <w:rPr>
          <w:rFonts w:hint="eastAsia" w:ascii="微软雅黑" w:hAnsi="微软雅黑" w:eastAsia="微软雅黑" w:cs="微软雅黑"/>
          <w:i w:val="0"/>
          <w:iCs w:val="0"/>
          <w:caps w:val="0"/>
          <w:color w:val="333333"/>
          <w:spacing w:val="0"/>
          <w:sz w:val="22"/>
          <w:szCs w:val="22"/>
          <w:bdr w:val="none" w:color="auto" w:sz="0" w:space="0"/>
          <w:shd w:val="clear" w:fill="FFFFFF"/>
        </w:rPr>
        <w:t xml:space="preserve"> 图1. 大气和土壤温度（a）、土壤湿度和日降水（b）、土壤CH4吸收（c）的季节动态</w:t>
      </w:r>
    </w:p>
    <w:p w14:paraId="5A639875">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50" w:afterAutospacing="0" w:line="368" w:lineRule="atLeast"/>
        <w:ind w:left="0" w:right="0" w:firstLine="420"/>
        <w:jc w:val="both"/>
        <w:rPr>
          <w:rFonts w:hint="eastAsia" w:ascii="微软雅黑" w:hAnsi="微软雅黑" w:eastAsia="微软雅黑" w:cs="微软雅黑"/>
          <w:i w:val="0"/>
          <w:iCs w:val="0"/>
          <w:caps w:val="0"/>
          <w:color w:val="333333"/>
          <w:spacing w:val="0"/>
          <w:sz w:val="22"/>
          <w:szCs w:val="22"/>
        </w:rPr>
      </w:pPr>
      <w:r>
        <w:rPr>
          <w:rFonts w:hint="eastAsia" w:ascii="微软雅黑" w:hAnsi="微软雅黑" w:eastAsia="微软雅黑" w:cs="微软雅黑"/>
          <w:i w:val="0"/>
          <w:iCs w:val="0"/>
          <w:caps w:val="0"/>
          <w:color w:val="333333"/>
          <w:spacing w:val="0"/>
          <w:sz w:val="22"/>
          <w:szCs w:val="22"/>
          <w:bdr w:val="none" w:color="auto" w:sz="0" w:space="0"/>
          <w:shd w:val="clear" w:fill="FFFFFF"/>
        </w:rPr>
        <w:drawing>
          <wp:inline distT="0" distB="0" distL="114300" distR="114300">
            <wp:extent cx="5262245" cy="3881755"/>
            <wp:effectExtent l="0" t="0" r="14605" b="444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5262245" cy="3881755"/>
                    </a:xfrm>
                    <a:prstGeom prst="rect">
                      <a:avLst/>
                    </a:prstGeom>
                    <a:noFill/>
                    <a:ln w="9525">
                      <a:noFill/>
                    </a:ln>
                  </pic:spPr>
                </pic:pic>
              </a:graphicData>
            </a:graphic>
          </wp:inline>
        </w:drawing>
      </w:r>
    </w:p>
    <w:p w14:paraId="73E5821E">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50" w:afterAutospacing="0" w:line="368" w:lineRule="atLeast"/>
        <w:ind w:left="0" w:right="0" w:firstLine="420"/>
        <w:jc w:val="both"/>
        <w:rPr>
          <w:rFonts w:hint="eastAsia" w:ascii="微软雅黑" w:hAnsi="微软雅黑" w:eastAsia="微软雅黑" w:cs="微软雅黑"/>
          <w:i w:val="0"/>
          <w:iCs w:val="0"/>
          <w:caps w:val="0"/>
          <w:color w:val="333333"/>
          <w:spacing w:val="0"/>
          <w:sz w:val="22"/>
          <w:szCs w:val="22"/>
        </w:rPr>
      </w:pPr>
      <w:r>
        <w:rPr>
          <w:rFonts w:hint="eastAsia" w:ascii="微软雅黑" w:hAnsi="微软雅黑" w:eastAsia="微软雅黑" w:cs="微软雅黑"/>
          <w:i w:val="0"/>
          <w:iCs w:val="0"/>
          <w:caps w:val="0"/>
          <w:color w:val="333333"/>
          <w:spacing w:val="0"/>
          <w:sz w:val="22"/>
          <w:szCs w:val="22"/>
          <w:bdr w:val="none" w:color="auto" w:sz="0" w:space="0"/>
          <w:shd w:val="clear" w:fill="FFFFFF"/>
        </w:rPr>
        <w:t>图2. 结冰（Frozen）、冻融交替（Freeze-Thaw Cycle）和非冻融时期（Thawed），CH4日吸收量与土壤温度(a)和土壤水分WFPS(b)的相关性</w:t>
      </w:r>
    </w:p>
    <w:p w14:paraId="025D639B">
      <w:pPr>
        <w:spacing w:line="360" w:lineRule="auto"/>
        <w:jc w:val="center"/>
        <w:rPr>
          <w:rFonts w:ascii="微软雅黑" w:hAnsi="微软雅黑" w:eastAsia="微软雅黑" w:cs="微软雅黑"/>
          <w:i w:val="0"/>
          <w:iCs w:val="0"/>
          <w:caps w:val="0"/>
          <w:color w:val="005A04"/>
          <w:spacing w:val="0"/>
          <w:sz w:val="24"/>
          <w:szCs w:val="24"/>
          <w:shd w:val="clear" w:fill="FFFFFF"/>
        </w:rPr>
      </w:pPr>
    </w:p>
    <w:p w14:paraId="01D0E4CC">
      <w:pPr>
        <w:spacing w:line="360" w:lineRule="auto"/>
        <w:jc w:val="center"/>
        <w:rPr>
          <w:rFonts w:ascii="微软雅黑" w:hAnsi="微软雅黑" w:eastAsia="微软雅黑" w:cs="微软雅黑"/>
          <w:i w:val="0"/>
          <w:iCs w:val="0"/>
          <w:caps w:val="0"/>
          <w:color w:val="005A04"/>
          <w:spacing w:val="0"/>
          <w:sz w:val="24"/>
          <w:szCs w:val="24"/>
          <w:shd w:val="clear" w:fill="FFFFFF"/>
        </w:rPr>
      </w:pPr>
    </w:p>
    <w:p w14:paraId="195DB529">
      <w:pPr>
        <w:spacing w:line="360" w:lineRule="auto"/>
        <w:jc w:val="center"/>
        <w:rPr>
          <w:rFonts w:ascii="微软雅黑" w:hAnsi="微软雅黑" w:eastAsia="微软雅黑" w:cs="微软雅黑"/>
          <w:i w:val="0"/>
          <w:iCs w:val="0"/>
          <w:caps w:val="0"/>
          <w:color w:val="005A04"/>
          <w:spacing w:val="0"/>
          <w:sz w:val="24"/>
          <w:szCs w:val="24"/>
          <w:shd w:val="clear" w:fill="FFFFFF"/>
        </w:rPr>
      </w:pPr>
    </w:p>
    <w:p w14:paraId="06D14AF2">
      <w:pPr>
        <w:spacing w:line="360" w:lineRule="auto"/>
        <w:jc w:val="center"/>
        <w:rPr>
          <w:rFonts w:ascii="微软雅黑" w:hAnsi="微软雅黑" w:eastAsia="微软雅黑" w:cs="微软雅黑"/>
          <w:i w:val="0"/>
          <w:iCs w:val="0"/>
          <w:caps w:val="0"/>
          <w:color w:val="005A04"/>
          <w:spacing w:val="0"/>
          <w:sz w:val="24"/>
          <w:szCs w:val="24"/>
          <w:shd w:val="clear" w:fill="FFFFFF"/>
        </w:rPr>
      </w:pPr>
    </w:p>
    <w:p w14:paraId="323AECB1">
      <w:pPr>
        <w:spacing w:line="360" w:lineRule="auto"/>
        <w:jc w:val="center"/>
        <w:rPr>
          <w:rFonts w:ascii="微软雅黑" w:hAnsi="微软雅黑" w:eastAsia="微软雅黑" w:cs="微软雅黑"/>
          <w:i w:val="0"/>
          <w:iCs w:val="0"/>
          <w:caps w:val="0"/>
          <w:color w:val="005A04"/>
          <w:spacing w:val="0"/>
          <w:sz w:val="24"/>
          <w:szCs w:val="24"/>
          <w:shd w:val="clear" w:fill="FFFFFF"/>
        </w:rPr>
      </w:pPr>
    </w:p>
    <w:p w14:paraId="59458709">
      <w:pPr>
        <w:spacing w:line="360" w:lineRule="auto"/>
        <w:jc w:val="center"/>
        <w:rPr>
          <w:rFonts w:ascii="微软雅黑" w:hAnsi="微软雅黑" w:eastAsia="微软雅黑" w:cs="微软雅黑"/>
          <w:i w:val="0"/>
          <w:iCs w:val="0"/>
          <w:caps w:val="0"/>
          <w:color w:val="005A04"/>
          <w:spacing w:val="0"/>
          <w:sz w:val="24"/>
          <w:szCs w:val="24"/>
          <w:shd w:val="clear" w:fill="FFFF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54D41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Hyperlink"/>
    <w:basedOn w:val="4"/>
    <w:uiPriority w:val="0"/>
    <w:rPr>
      <w:color w:val="0000FF"/>
      <w:u w:val="singl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53</TotalTime>
  <ScaleCrop>false</ScaleCrop>
  <LinksUpToDate>false</LinksUpToDate>
  <CharactersWithSpaces>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2025-05-29T08:11:20Z</dcterms:created>
  <dc:creator>lenovo</dc:creator>
  <cp:lastModifiedBy>lenovo</cp:lastModifiedBy>
  <dcterms:modified xsi:type="dcterms:W3CDTF">2025-05-29T09:04:33Z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TemplateDocerSaveRecord">
    <vt:lpwstr>eyJoZGlkIjoiZDZmZTE1ZjI4NzY4OWUwZjIwYjk4NTFhZTcwMzZmNzcifQ==</vt:lpwstr>
  </property>
  <property fmtid="{D5CDD505-2E9C-101B-9397-08002B2CF9AE}" pid="4" name="ICV">
    <vt:lpwstr>A71112EB0AF44439BD256B573F7F962E_12</vt:lpwstr>
  </property>
</Properties>
</file>